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B8" w:rsidRPr="00D9305C" w:rsidRDefault="005675A4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  <w:r w:rsidRPr="00D9305C"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5506677</wp:posOffset>
            </wp:positionH>
            <wp:positionV relativeFrom="paragraph">
              <wp:posOffset>-893554</wp:posOffset>
            </wp:positionV>
            <wp:extent cx="1213944" cy="121394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ato vettori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79" cy="1216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9B8" w:rsidRPr="00D9305C">
        <w:rPr>
          <w:rFonts w:eastAsia="Times New Roman" w:cstheme="minorHAnsi"/>
          <w:b/>
          <w:bCs/>
          <w:color w:val="000000"/>
          <w:sz w:val="18"/>
          <w:lang w:eastAsia="it-IT"/>
        </w:rPr>
        <w:t>SAIPEM</w:t>
      </w:r>
    </w:p>
    <w:p w:rsidR="00941730" w:rsidRDefault="00941730" w:rsidP="00941730">
      <w:pPr>
        <w:spacing w:after="0" w:line="210" w:lineRule="atLeast"/>
        <w:jc w:val="center"/>
        <w:rPr>
          <w:rFonts w:eastAsia="Times New Roman" w:cstheme="minorHAnsi"/>
          <w:b/>
          <w:bCs/>
          <w:color w:val="000000"/>
          <w:sz w:val="18"/>
          <w:lang w:eastAsia="it-IT"/>
        </w:rPr>
      </w:pPr>
      <w:r w:rsidRPr="00941730">
        <w:rPr>
          <w:rFonts w:eastAsia="Times New Roman" w:cstheme="minorHAnsi"/>
          <w:b/>
          <w:bCs/>
          <w:color w:val="000000"/>
          <w:sz w:val="18"/>
          <w:lang w:eastAsia="it-IT"/>
        </w:rPr>
        <w:t>STAGE CONSTRUCTION SUBCONTRACTS ENGINEER</w:t>
      </w:r>
    </w:p>
    <w:p w:rsidR="00941730" w:rsidRDefault="00941730" w:rsidP="00941730">
      <w:pPr>
        <w:spacing w:after="0" w:line="210" w:lineRule="atLeast"/>
        <w:jc w:val="center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un Global Solution Provider, leader nel settore dell’energia e delle infrastrutture, un partner affidabile per i clienti, in grado di identificare e creare soluzioni tecnologiche e sostenibili capaci di creare valore durante l’intero ciclo dei progetti a partire dalla loro fase di fattibilità.</w:t>
      </w: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Operiamo </w:t>
      </w:r>
      <w:r w:rsidR="00173307" w:rsidRPr="00941730">
        <w:rPr>
          <w:rFonts w:cstheme="minorHAnsi"/>
          <w:sz w:val="18"/>
          <w:szCs w:val="18"/>
        </w:rPr>
        <w:t>da più</w:t>
      </w:r>
      <w:r w:rsidRPr="00941730">
        <w:rPr>
          <w:rFonts w:cstheme="minorHAnsi"/>
          <w:sz w:val="18"/>
          <w:szCs w:val="18"/>
        </w:rPr>
        <w:t xml:space="preserve"> di 60 anni in 72 paesi, con una </w:t>
      </w:r>
      <w:proofErr w:type="spellStart"/>
      <w:r w:rsidRPr="00941730">
        <w:rPr>
          <w:rFonts w:cstheme="minorHAnsi"/>
          <w:sz w:val="18"/>
          <w:szCs w:val="18"/>
        </w:rPr>
        <w:t>workforce</w:t>
      </w:r>
      <w:proofErr w:type="spellEnd"/>
      <w:r w:rsidRPr="00941730">
        <w:rPr>
          <w:rFonts w:cstheme="minorHAnsi"/>
          <w:sz w:val="18"/>
          <w:szCs w:val="18"/>
        </w:rPr>
        <w:t xml:space="preserve"> di oltre 32.000 dipendenti di 115 nazionalità, attraverso una struttura capillare fatta per poter rispondere con flessibilità alle necessità locali ed alle sfide di sostenibilità </w:t>
      </w:r>
      <w:bookmarkStart w:id="0" w:name="_GoBack"/>
      <w:bookmarkEnd w:id="0"/>
      <w:r w:rsidR="00941730" w:rsidRPr="00941730">
        <w:rPr>
          <w:rFonts w:cstheme="minorHAnsi"/>
          <w:sz w:val="18"/>
          <w:szCs w:val="18"/>
        </w:rPr>
        <w:t>svolgendo un</w:t>
      </w:r>
      <w:r w:rsidRPr="00941730">
        <w:rPr>
          <w:rFonts w:cstheme="minorHAnsi"/>
          <w:sz w:val="18"/>
          <w:szCs w:val="18"/>
        </w:rPr>
        <w:t xml:space="preserve"> ruolo attivo nella vita economica e ambientale di ogni area in cui operiamo.</w:t>
      </w: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alla ricerca di laureati dotati di spirito d'iniziativa, energia e passione per intraprendere un viaggio nell’eccellenza professionale in un contesto dinamico ed internazionale.</w:t>
      </w:r>
    </w:p>
    <w:p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  <w:highlight w:val="yellow"/>
        </w:rPr>
      </w:pPr>
    </w:p>
    <w:p w:rsidR="00941730" w:rsidRPr="00941730" w:rsidRDefault="00941730" w:rsidP="0094173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94173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>Posizione</w:t>
      </w:r>
    </w:p>
    <w:p w:rsidR="00941730" w:rsidRPr="00941730" w:rsidRDefault="00941730" w:rsidP="00941730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Siamo alla ricerca di un Construction </w:t>
      </w:r>
      <w:proofErr w:type="spellStart"/>
      <w:r w:rsidRPr="00941730">
        <w:rPr>
          <w:rFonts w:cstheme="minorHAnsi"/>
          <w:sz w:val="18"/>
          <w:szCs w:val="18"/>
        </w:rPr>
        <w:t>Subcontracts</w:t>
      </w:r>
      <w:proofErr w:type="spellEnd"/>
      <w:r w:rsidRPr="00941730">
        <w:rPr>
          <w:rFonts w:cstheme="minorHAnsi"/>
          <w:sz w:val="18"/>
          <w:szCs w:val="18"/>
        </w:rPr>
        <w:t xml:space="preserve"> </w:t>
      </w:r>
      <w:proofErr w:type="spellStart"/>
      <w:r w:rsidRPr="00941730">
        <w:rPr>
          <w:rFonts w:cstheme="minorHAnsi"/>
          <w:sz w:val="18"/>
          <w:szCs w:val="18"/>
        </w:rPr>
        <w:t>Engineer</w:t>
      </w:r>
      <w:proofErr w:type="spellEnd"/>
      <w:r w:rsidRPr="00941730">
        <w:rPr>
          <w:rFonts w:cstheme="minorHAnsi"/>
          <w:sz w:val="18"/>
          <w:szCs w:val="18"/>
        </w:rPr>
        <w:t xml:space="preserve"> da inserire all’interno della divisione ONSHORE E&amp;C a supporto del dipartimento di Construction </w:t>
      </w:r>
      <w:proofErr w:type="spellStart"/>
      <w:r w:rsidRPr="00941730">
        <w:rPr>
          <w:rFonts w:cstheme="minorHAnsi"/>
          <w:sz w:val="18"/>
          <w:szCs w:val="18"/>
        </w:rPr>
        <w:t>Subcontracts</w:t>
      </w:r>
      <w:proofErr w:type="spellEnd"/>
      <w:r w:rsidRPr="00941730">
        <w:rPr>
          <w:rFonts w:cstheme="minorHAnsi"/>
          <w:sz w:val="18"/>
          <w:szCs w:val="18"/>
        </w:rPr>
        <w:t xml:space="preserve"> </w:t>
      </w:r>
      <w:proofErr w:type="spellStart"/>
      <w:r w:rsidRPr="00941730">
        <w:rPr>
          <w:rFonts w:cstheme="minorHAnsi"/>
          <w:sz w:val="18"/>
          <w:szCs w:val="18"/>
        </w:rPr>
        <w:t>Engineering</w:t>
      </w:r>
      <w:proofErr w:type="spellEnd"/>
      <w:r w:rsidRPr="00941730">
        <w:rPr>
          <w:rFonts w:cstheme="minorHAnsi"/>
          <w:sz w:val="18"/>
          <w:szCs w:val="18"/>
        </w:rPr>
        <w:t>.</w:t>
      </w:r>
    </w:p>
    <w:p w:rsidR="00941730" w:rsidRPr="00941730" w:rsidRDefault="00941730" w:rsidP="0094173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94173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>Attività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Supportare il Construction Manager e il team di Project Management nello sviluppo del Construction </w:t>
      </w:r>
      <w:proofErr w:type="spellStart"/>
      <w:r w:rsidRPr="00941730">
        <w:rPr>
          <w:rFonts w:cstheme="minorHAnsi"/>
          <w:sz w:val="18"/>
          <w:szCs w:val="18"/>
        </w:rPr>
        <w:t>Procurement</w:t>
      </w:r>
      <w:proofErr w:type="spellEnd"/>
      <w:r w:rsidRPr="00941730">
        <w:rPr>
          <w:rFonts w:cstheme="minorHAnsi"/>
          <w:sz w:val="18"/>
          <w:szCs w:val="18"/>
        </w:rPr>
        <w:t xml:space="preserve"> and </w:t>
      </w:r>
      <w:proofErr w:type="spellStart"/>
      <w:r w:rsidRPr="00941730">
        <w:rPr>
          <w:rFonts w:cstheme="minorHAnsi"/>
          <w:sz w:val="18"/>
          <w:szCs w:val="18"/>
        </w:rPr>
        <w:t>Subcontracting</w:t>
      </w:r>
      <w:proofErr w:type="spellEnd"/>
      <w:r w:rsidRPr="00941730">
        <w:rPr>
          <w:rFonts w:cstheme="minorHAnsi"/>
          <w:sz w:val="18"/>
          <w:szCs w:val="18"/>
        </w:rPr>
        <w:t xml:space="preserve"> Plan, in linea con la CBS (</w:t>
      </w:r>
      <w:proofErr w:type="spellStart"/>
      <w:r w:rsidRPr="00941730">
        <w:rPr>
          <w:rFonts w:cstheme="minorHAnsi"/>
          <w:sz w:val="18"/>
          <w:szCs w:val="18"/>
        </w:rPr>
        <w:t>Cost</w:t>
      </w:r>
      <w:proofErr w:type="spellEnd"/>
      <w:r w:rsidRPr="00941730">
        <w:rPr>
          <w:rFonts w:cstheme="minorHAnsi"/>
          <w:sz w:val="18"/>
          <w:szCs w:val="18"/>
        </w:rPr>
        <w:t xml:space="preserve"> Breakdown </w:t>
      </w:r>
      <w:proofErr w:type="spellStart"/>
      <w:r w:rsidRPr="00941730">
        <w:rPr>
          <w:rFonts w:cstheme="minorHAnsi"/>
          <w:sz w:val="18"/>
          <w:szCs w:val="18"/>
        </w:rPr>
        <w:t>Structure</w:t>
      </w:r>
      <w:proofErr w:type="spellEnd"/>
      <w:r w:rsidRPr="00941730">
        <w:rPr>
          <w:rFonts w:cstheme="minorHAnsi"/>
          <w:sz w:val="18"/>
          <w:szCs w:val="18"/>
        </w:rPr>
        <w:t>), per soddisfare le necessità della Costruzione e dei progetti, nel rispetto dei criteri aziendali.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Assicurare, in collaborazione con il Construction Manager e con il team di Construction, la gestione dei contratti con i sub-contrattisti.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Assicurare il monitoraggio e il controllo degli approvvigionamenti della Construction e del costo dei servizi correlati.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Assicurare il monitoraggio e il controllo del costo del lavoro della Construction, relativo ai sub-contrattisti e ai lavoratori dipendenti.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Gestire il monitoraggio e il controllo dei costi relativi ai fornitori e a qualunque altra attività specialistica richiesta dal cantiere per attività di Construction.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Assicurare le analisi delle deviazioni basate sulle quantità effettive rispetto alle quantità preventivate, raccogliendo le fonti delle variazioni dalle diverse aree di progetto.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Assicurare la stima dei costi per ogni variazione dello scope of work relativo alla Construction, incluso ogni </w:t>
      </w:r>
      <w:proofErr w:type="gramStart"/>
      <w:r w:rsidRPr="00941730">
        <w:rPr>
          <w:rFonts w:cstheme="minorHAnsi"/>
          <w:sz w:val="18"/>
          <w:szCs w:val="18"/>
        </w:rPr>
        <w:t>NP(</w:t>
      </w:r>
      <w:proofErr w:type="gramEnd"/>
      <w:r w:rsidRPr="00941730">
        <w:rPr>
          <w:rFonts w:cstheme="minorHAnsi"/>
          <w:sz w:val="18"/>
          <w:szCs w:val="18"/>
        </w:rPr>
        <w:t>New Price) e CWO(</w:t>
      </w:r>
      <w:proofErr w:type="spellStart"/>
      <w:r w:rsidRPr="00941730">
        <w:rPr>
          <w:rFonts w:cstheme="minorHAnsi"/>
          <w:sz w:val="18"/>
          <w:szCs w:val="18"/>
        </w:rPr>
        <w:t>Change</w:t>
      </w:r>
      <w:proofErr w:type="spellEnd"/>
      <w:r w:rsidRPr="00941730">
        <w:rPr>
          <w:rFonts w:cstheme="minorHAnsi"/>
          <w:sz w:val="18"/>
          <w:szCs w:val="18"/>
        </w:rPr>
        <w:t xml:space="preserve"> Work Order) che si rivelino necessari, garantendo la segregazione e la capitalizzazione, nel rispetto dei criteri aziendali.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Assicurare, in collaborazione con il team di </w:t>
      </w:r>
      <w:proofErr w:type="spellStart"/>
      <w:r w:rsidRPr="00941730">
        <w:rPr>
          <w:rFonts w:cstheme="minorHAnsi"/>
          <w:sz w:val="18"/>
          <w:szCs w:val="18"/>
        </w:rPr>
        <w:t>project</w:t>
      </w:r>
      <w:proofErr w:type="spellEnd"/>
      <w:r w:rsidRPr="00941730">
        <w:rPr>
          <w:rFonts w:cstheme="minorHAnsi"/>
          <w:sz w:val="18"/>
          <w:szCs w:val="18"/>
        </w:rPr>
        <w:t xml:space="preserve"> control, che i reporting e i dati relativi ai costi della Construction siano resi disponibili al Project management.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Supportare il Construction Manager e il team di Project Management nelle analisi delle richieste provenienti dai sub-contrattisti e/o dai fornitori.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Assicurare, in collaborazione con il team di Project Control, che i dati relativi al </w:t>
      </w:r>
      <w:proofErr w:type="spellStart"/>
      <w:r w:rsidRPr="00941730">
        <w:rPr>
          <w:rFonts w:cstheme="minorHAnsi"/>
          <w:sz w:val="18"/>
          <w:szCs w:val="18"/>
        </w:rPr>
        <w:t>change</w:t>
      </w:r>
      <w:proofErr w:type="spellEnd"/>
      <w:r w:rsidRPr="00941730">
        <w:rPr>
          <w:rFonts w:cstheme="minorHAnsi"/>
          <w:sz w:val="18"/>
          <w:szCs w:val="18"/>
        </w:rPr>
        <w:t xml:space="preserve"> management e le informazioni sulle attività della Construction siano resi disponibili al </w:t>
      </w:r>
      <w:proofErr w:type="spellStart"/>
      <w:r w:rsidRPr="00941730">
        <w:rPr>
          <w:rFonts w:cstheme="minorHAnsi"/>
          <w:sz w:val="18"/>
          <w:szCs w:val="18"/>
        </w:rPr>
        <w:t>project</w:t>
      </w:r>
      <w:proofErr w:type="spellEnd"/>
      <w:r w:rsidRPr="00941730">
        <w:rPr>
          <w:rFonts w:cstheme="minorHAnsi"/>
          <w:sz w:val="18"/>
          <w:szCs w:val="18"/>
        </w:rPr>
        <w:t xml:space="preserve"> management.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Supportare il Construction Manager e il team di </w:t>
      </w:r>
      <w:proofErr w:type="spellStart"/>
      <w:r w:rsidRPr="00941730">
        <w:rPr>
          <w:rFonts w:cstheme="minorHAnsi"/>
          <w:sz w:val="18"/>
          <w:szCs w:val="18"/>
        </w:rPr>
        <w:t>project</w:t>
      </w:r>
      <w:proofErr w:type="spellEnd"/>
      <w:r w:rsidRPr="00941730">
        <w:rPr>
          <w:rFonts w:cstheme="minorHAnsi"/>
          <w:sz w:val="18"/>
          <w:szCs w:val="18"/>
        </w:rPr>
        <w:t xml:space="preserve"> management nelle analisi dell’impatto, in termini di tempi e costi, che I rischi e le opportunità hanno sull’attività </w:t>
      </w:r>
      <w:r w:rsidRPr="00941730">
        <w:rPr>
          <w:rFonts w:cstheme="minorHAnsi"/>
          <w:sz w:val="18"/>
          <w:szCs w:val="18"/>
        </w:rPr>
        <w:t>di fornitori</w:t>
      </w:r>
      <w:r w:rsidRPr="00941730">
        <w:rPr>
          <w:rFonts w:cstheme="minorHAnsi"/>
          <w:sz w:val="18"/>
          <w:szCs w:val="18"/>
        </w:rPr>
        <w:t xml:space="preserve"> e sub-contrattisti.</w:t>
      </w:r>
    </w:p>
    <w:p w:rsidR="00941730" w:rsidRPr="00941730" w:rsidRDefault="00941730" w:rsidP="00941730">
      <w:pPr>
        <w:spacing w:after="0" w:line="210" w:lineRule="atLeast"/>
        <w:rPr>
          <w:rFonts w:cstheme="minorHAnsi"/>
          <w:sz w:val="18"/>
          <w:szCs w:val="18"/>
        </w:rPr>
      </w:pPr>
    </w:p>
    <w:p w:rsidR="00941730" w:rsidRPr="00941730" w:rsidRDefault="00941730" w:rsidP="00941730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>Requisiti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Laurea triennale / magistrale in Ingegneria Gestionale;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Buona conoscenza della lingua inglese;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Conoscenze tecniche: conoscenza analisi costi;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Disponibilità a trasferte all’estero (breve e lungo periodo)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Capacità personali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Buone capacità comunicative e propensione a lavorare in team multiculturali;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Approccio analitico e strutturato alla gestione dei dati;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Attitudine alla digitalizzazione;</w:t>
      </w:r>
    </w:p>
    <w:p w:rsidR="00941730" w:rsidRPr="00941730" w:rsidRDefault="00941730" w:rsidP="005E71D3">
      <w:pPr>
        <w:pStyle w:val="Paragrafoelenco"/>
        <w:numPr>
          <w:ilvl w:val="0"/>
          <w:numId w:val="1"/>
        </w:num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Precisione.</w:t>
      </w:r>
    </w:p>
    <w:p w:rsidR="00941730" w:rsidRPr="00941730" w:rsidRDefault="00941730" w:rsidP="0094173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94173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 xml:space="preserve"> </w:t>
      </w:r>
    </w:p>
    <w:p w:rsidR="00941730" w:rsidRPr="00941730" w:rsidRDefault="00941730" w:rsidP="0094173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94173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 xml:space="preserve">Sede: </w:t>
      </w:r>
      <w:r w:rsidRPr="00941730">
        <w:rPr>
          <w:rFonts w:ascii="Arial" w:eastAsia="Times New Roman" w:hAnsi="Arial" w:cs="Arial"/>
          <w:bCs/>
          <w:color w:val="333333"/>
          <w:sz w:val="18"/>
          <w:szCs w:val="18"/>
          <w:lang w:eastAsia="it-IT"/>
        </w:rPr>
        <w:t>San Donato Milanese</w:t>
      </w:r>
    </w:p>
    <w:p w:rsidR="00941730" w:rsidRPr="00941730" w:rsidRDefault="00941730" w:rsidP="0094173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33333"/>
          <w:sz w:val="18"/>
          <w:szCs w:val="18"/>
          <w:lang w:eastAsia="it-IT"/>
        </w:rPr>
      </w:pPr>
      <w:r w:rsidRPr="0094173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 xml:space="preserve">Si offre: </w:t>
      </w:r>
      <w:r w:rsidRPr="00941730">
        <w:rPr>
          <w:rFonts w:ascii="Arial" w:eastAsia="Times New Roman" w:hAnsi="Arial" w:cs="Arial"/>
          <w:bCs/>
          <w:color w:val="333333"/>
          <w:sz w:val="18"/>
          <w:szCs w:val="18"/>
          <w:lang w:eastAsia="it-IT"/>
        </w:rPr>
        <w:t>Stage extracurriculare 6 mesi con rimborso spese + mensa aziendale</w:t>
      </w:r>
    </w:p>
    <w:p w:rsidR="00941730" w:rsidRPr="00941730" w:rsidRDefault="00941730" w:rsidP="0094173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33333"/>
          <w:sz w:val="18"/>
          <w:szCs w:val="18"/>
          <w:lang w:eastAsia="it-IT"/>
        </w:rPr>
      </w:pPr>
    </w:p>
    <w:p w:rsidR="00173307" w:rsidRPr="00941730" w:rsidRDefault="00173307" w:rsidP="00941730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 xml:space="preserve">I candidati ambosessi (L.903/03) sono invitati a leggere l’informativa sulla privacy (art. 13, D. </w:t>
      </w:r>
      <w:proofErr w:type="spellStart"/>
      <w:r w:rsidRPr="00941730">
        <w:rPr>
          <w:rFonts w:cstheme="minorHAnsi"/>
          <w:sz w:val="18"/>
          <w:szCs w:val="18"/>
        </w:rPr>
        <w:t>Lgs</w:t>
      </w:r>
      <w:proofErr w:type="spellEnd"/>
      <w:r w:rsidRPr="00941730">
        <w:rPr>
          <w:rFonts w:cstheme="minorHAnsi"/>
          <w:sz w:val="18"/>
          <w:szCs w:val="18"/>
        </w:rPr>
        <w:t>. 196/03 ed art. 13 GDPR 679/16)</w:t>
      </w:r>
    </w:p>
    <w:p w:rsidR="00A1600B" w:rsidRPr="00941730" w:rsidRDefault="00A1600B" w:rsidP="004F069D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</w:p>
    <w:p w:rsidR="004F58A7" w:rsidRPr="00941730" w:rsidRDefault="00A1600B" w:rsidP="004F58A7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  <w:r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</w:t>
      </w:r>
      <w:r w:rsidR="004F58A7"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                          </w:t>
      </w:r>
    </w:p>
    <w:p w:rsidR="005A0564" w:rsidRPr="00941730" w:rsidRDefault="00A1600B" w:rsidP="00D9305C">
      <w:pPr>
        <w:spacing w:after="0" w:line="210" w:lineRule="atLeast"/>
        <w:rPr>
          <w:sz w:val="16"/>
          <w:szCs w:val="16"/>
        </w:rPr>
      </w:pPr>
      <w:r w:rsidRPr="00941730">
        <w:rPr>
          <w:rFonts w:eastAsia="Times New Roman" w:cstheme="minorHAnsi"/>
          <w:b/>
          <w:sz w:val="16"/>
          <w:szCs w:val="16"/>
          <w:u w:val="single"/>
          <w:lang w:eastAsia="it-IT"/>
        </w:rPr>
        <w:t xml:space="preserve"> 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PER CANDIDARSI INVIARE IL PROPRIO C.V. A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(entro il </w:t>
      </w:r>
      <w:r w:rsidR="00D9305C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30/12</w:t>
      </w:r>
      <w:r w:rsidR="004F58A7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/2020</w:t>
      </w:r>
      <w:proofErr w:type="gramStart"/>
      <w:r w:rsidR="00A74DDE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)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:</w:t>
      </w:r>
      <w:r w:rsidR="004F069D" w:rsidRPr="00941730">
        <w:rPr>
          <w:rFonts w:eastAsia="Times New Roman" w:cstheme="minorHAnsi"/>
          <w:b/>
          <w:sz w:val="24"/>
          <w:szCs w:val="16"/>
          <w:lang w:eastAsia="it-IT"/>
        </w:rPr>
        <w:t xml:space="preserve"> 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</w:t>
      </w:r>
      <w:r w:rsidR="00941730" w:rsidRPr="00941730">
        <w:rPr>
          <w:rStyle w:val="Collegamentoipertestuale"/>
          <w:rFonts w:eastAsia="Times New Roman" w:cstheme="minorHAnsi"/>
          <w:b/>
          <w:sz w:val="24"/>
          <w:szCs w:val="16"/>
          <w:lang w:eastAsia="it-IT"/>
        </w:rPr>
        <w:t>https://go0.it/AymKr</w:t>
      </w:r>
      <w:proofErr w:type="gramEnd"/>
    </w:p>
    <w:sectPr w:rsidR="005A0564" w:rsidRPr="0094173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D3" w:rsidRDefault="005E71D3" w:rsidP="00742D3D">
      <w:pPr>
        <w:spacing w:after="0" w:line="240" w:lineRule="auto"/>
      </w:pPr>
      <w:r>
        <w:separator/>
      </w:r>
    </w:p>
  </w:endnote>
  <w:endnote w:type="continuationSeparator" w:id="0">
    <w:p w:rsidR="005E71D3" w:rsidRDefault="005E71D3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D3" w:rsidRDefault="005E71D3" w:rsidP="00742D3D">
      <w:pPr>
        <w:spacing w:after="0" w:line="240" w:lineRule="auto"/>
      </w:pPr>
      <w:r>
        <w:separator/>
      </w:r>
    </w:p>
  </w:footnote>
  <w:footnote w:type="continuationSeparator" w:id="0">
    <w:p w:rsidR="005E71D3" w:rsidRDefault="005E71D3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3D" w:rsidRDefault="00742D3D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96292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:rsidR="00742D3D" w:rsidRDefault="00742D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2EF6"/>
    <w:multiLevelType w:val="hybridMultilevel"/>
    <w:tmpl w:val="AA02A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73307"/>
    <w:rsid w:val="00186FF7"/>
    <w:rsid w:val="00192442"/>
    <w:rsid w:val="00257588"/>
    <w:rsid w:val="002725FE"/>
    <w:rsid w:val="00320B4A"/>
    <w:rsid w:val="003D1E6F"/>
    <w:rsid w:val="003F0461"/>
    <w:rsid w:val="004005E2"/>
    <w:rsid w:val="0040252F"/>
    <w:rsid w:val="00403D22"/>
    <w:rsid w:val="004805DC"/>
    <w:rsid w:val="004D548B"/>
    <w:rsid w:val="004F069D"/>
    <w:rsid w:val="004F560D"/>
    <w:rsid w:val="004F58A7"/>
    <w:rsid w:val="004F78D6"/>
    <w:rsid w:val="00557C8E"/>
    <w:rsid w:val="005675A4"/>
    <w:rsid w:val="0057169C"/>
    <w:rsid w:val="00592AD1"/>
    <w:rsid w:val="005A0564"/>
    <w:rsid w:val="005A31E5"/>
    <w:rsid w:val="005E71D3"/>
    <w:rsid w:val="00600C24"/>
    <w:rsid w:val="0061773D"/>
    <w:rsid w:val="00640191"/>
    <w:rsid w:val="006C2DF0"/>
    <w:rsid w:val="006D31ED"/>
    <w:rsid w:val="006E7CB2"/>
    <w:rsid w:val="00706187"/>
    <w:rsid w:val="00742D3D"/>
    <w:rsid w:val="00786320"/>
    <w:rsid w:val="007B5253"/>
    <w:rsid w:val="0080541C"/>
    <w:rsid w:val="0083619D"/>
    <w:rsid w:val="00837A41"/>
    <w:rsid w:val="0084341B"/>
    <w:rsid w:val="00927147"/>
    <w:rsid w:val="00941730"/>
    <w:rsid w:val="009762A3"/>
    <w:rsid w:val="009853B5"/>
    <w:rsid w:val="009A5D17"/>
    <w:rsid w:val="009B5863"/>
    <w:rsid w:val="00A1600B"/>
    <w:rsid w:val="00A74DDE"/>
    <w:rsid w:val="00A869BA"/>
    <w:rsid w:val="00B07456"/>
    <w:rsid w:val="00B0792B"/>
    <w:rsid w:val="00B15B64"/>
    <w:rsid w:val="00B359B8"/>
    <w:rsid w:val="00B86C55"/>
    <w:rsid w:val="00BA6313"/>
    <w:rsid w:val="00C14497"/>
    <w:rsid w:val="00C2403B"/>
    <w:rsid w:val="00C2797B"/>
    <w:rsid w:val="00C518D6"/>
    <w:rsid w:val="00C856A4"/>
    <w:rsid w:val="00CC5AC7"/>
    <w:rsid w:val="00CD2E06"/>
    <w:rsid w:val="00CE7127"/>
    <w:rsid w:val="00D079F4"/>
    <w:rsid w:val="00D136B1"/>
    <w:rsid w:val="00D62266"/>
    <w:rsid w:val="00D9305C"/>
    <w:rsid w:val="00D962D9"/>
    <w:rsid w:val="00E55297"/>
    <w:rsid w:val="00E8060E"/>
    <w:rsid w:val="00EA0365"/>
    <w:rsid w:val="00EC72AC"/>
    <w:rsid w:val="00EC7973"/>
    <w:rsid w:val="00ED3FB6"/>
    <w:rsid w:val="00E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3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1D0C-031F-40B8-B172-AEC1EB86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Selezione Hrcgroup</cp:lastModifiedBy>
  <cp:revision>3</cp:revision>
  <cp:lastPrinted>2018-02-01T16:31:00Z</cp:lastPrinted>
  <dcterms:created xsi:type="dcterms:W3CDTF">2020-11-17T12:00:00Z</dcterms:created>
  <dcterms:modified xsi:type="dcterms:W3CDTF">2020-12-02T10:57:00Z</dcterms:modified>
</cp:coreProperties>
</file>