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114300" distB="114300" distL="114300" distR="114300">
            <wp:extent cx="1166813" cy="1166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142A" w:rsidRDefault="008B14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sz w:val="22"/>
          <w:szCs w:val="22"/>
        </w:rPr>
      </w:pP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nostro partner </w:t>
      </w:r>
      <w:bookmarkStart w:id="0" w:name="_GoBack"/>
      <w:r>
        <w:rPr>
          <w:b/>
          <w:sz w:val="24"/>
          <w:szCs w:val="24"/>
        </w:rPr>
        <w:t>KPMG</w:t>
      </w:r>
      <w:r>
        <w:rPr>
          <w:sz w:val="24"/>
          <w:szCs w:val="24"/>
        </w:rPr>
        <w:t xml:space="preserve"> è alla ricerca di </w:t>
      </w:r>
      <w:r>
        <w:rPr>
          <w:b/>
          <w:sz w:val="24"/>
          <w:szCs w:val="24"/>
        </w:rPr>
        <w:t>Consultant - IT Audit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per la propria sede di </w:t>
      </w:r>
      <w:r>
        <w:rPr>
          <w:b/>
          <w:sz w:val="24"/>
          <w:szCs w:val="24"/>
        </w:rPr>
        <w:t>Milano</w:t>
      </w:r>
      <w:r>
        <w:rPr>
          <w:sz w:val="24"/>
          <w:szCs w:val="24"/>
        </w:rPr>
        <w:t xml:space="preserve">. </w:t>
      </w: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mondo digitale di oggi, le aziende non possono sottovalutare il cyber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. Occorre prendere decisioni coraggiose e definire una cyber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che grazie a soluzioni di cyber defense e </w:t>
      </w:r>
      <w:proofErr w:type="spellStart"/>
      <w:r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possa proteggere il business e dare un supporto concreto alla crescita.</w:t>
      </w: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team Information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Management i nostri esperti di cyber security utilizzano le loro competenze tecniche per affiancare i nostri clienti ad analizzare le criticità tecnologiche che influiscono sul loro business. Non si tratta di eliminare il rischio, ma di riuscire a gestirlo attraverso strategie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, creative e predittive. </w:t>
      </w:r>
    </w:p>
    <w:p w:rsidR="007B5933" w:rsidRDefault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gruppo IRM si contraddistingue per un ambiente di lavoro amichevole, per l’elevato grado di formazione garantito da corsi tematici di approfondimento delle materie più innovative erogati dai nostri 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Expert, e per il forte spirito di collaborazione dovuto ad un team unico e affiatato focalizzato sui risultati del gruppo nel rispetto delle varie individualità.</w:t>
      </w:r>
    </w:p>
    <w:p w:rsidR="007B5933" w:rsidRDefault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tuo talento troverà la giusta valorizzazione e ti consentirà di entrare in contatto con clienti leader nel settore, in progetti che riguardano IT Security, IT Audit e Privacy e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. </w:t>
      </w: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lavoro:</w:t>
      </w:r>
    </w:p>
    <w:p w:rsidR="008B142A" w:rsidRDefault="00315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Nello specifico, verrai inserito nel team dedicato al mercato Financial Services di Milano e ti potrai occupare di: </w:t>
      </w:r>
    </w:p>
    <w:p w:rsidR="008B142A" w:rsidRDefault="00315F68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Analisi complesse della conformità IT alle normative (ad es. Legge 262, circolare 285, Basel III, AML); </w:t>
      </w:r>
    </w:p>
    <w:p w:rsidR="008B142A" w:rsidRDefault="00315F68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Verificare lo stato dei sistemi di controllo interno (ad es. IT Audit, progettazione di processi e metodologie, controllo dei rischi, analisi di flussi di informazioni, utilizzo di strumenti Data &amp; Analytics) e definire i metodi più appropriati per la Data </w:t>
      </w:r>
      <w:proofErr w:type="spellStart"/>
      <w:r>
        <w:rPr>
          <w:sz w:val="24"/>
          <w:szCs w:val="24"/>
        </w:rPr>
        <w:t>Governance</w:t>
      </w:r>
      <w:proofErr w:type="spellEnd"/>
      <w:r>
        <w:rPr>
          <w:sz w:val="24"/>
          <w:szCs w:val="24"/>
        </w:rPr>
        <w:t xml:space="preserve">; </w:t>
      </w:r>
    </w:p>
    <w:p w:rsidR="007B5933" w:rsidRPr="007B5933" w:rsidRDefault="00315F68" w:rsidP="007B593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7B5933">
        <w:rPr>
          <w:sz w:val="24"/>
          <w:szCs w:val="24"/>
        </w:rPr>
        <w:t xml:space="preserve">Partecipare a progetti innovativi presso i primari intermediari bancari e assicurativi italiani ed esteri, dove potrai integrare le loro esperienze tecniche con le competenze di business necessarie a valorizzare al massimo il proprio potenziale di attori della Digital </w:t>
      </w:r>
      <w:proofErr w:type="spellStart"/>
      <w:r w:rsidRPr="007B5933">
        <w:rPr>
          <w:sz w:val="24"/>
          <w:szCs w:val="24"/>
        </w:rPr>
        <w:t>Transformation.</w:t>
      </w:r>
      <w:proofErr w:type="spellEnd"/>
    </w:p>
    <w:p w:rsidR="008B142A" w:rsidRPr="007B5933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7B5933">
        <w:rPr>
          <w:b/>
          <w:color w:val="000000"/>
          <w:sz w:val="24"/>
          <w:szCs w:val="24"/>
        </w:rPr>
        <w:t>Requisiti:</w:t>
      </w:r>
    </w:p>
    <w:p w:rsidR="007B5933" w:rsidRDefault="00315F68" w:rsidP="007B5933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B5933">
        <w:rPr>
          <w:sz w:val="24"/>
          <w:szCs w:val="24"/>
        </w:rPr>
        <w:t xml:space="preserve">Laurea in Ingegneria Informatica, Gestionale, delle Telecomunicazioni </w:t>
      </w:r>
    </w:p>
    <w:p w:rsidR="008B142A" w:rsidRPr="007B5933" w:rsidRDefault="00315F68" w:rsidP="007B5933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B5933">
        <w:rPr>
          <w:sz w:val="24"/>
          <w:szCs w:val="24"/>
        </w:rPr>
        <w:t xml:space="preserve">Esperienza in: </w:t>
      </w:r>
    </w:p>
    <w:p w:rsidR="008B142A" w:rsidRDefault="00315F68" w:rsidP="007B5933">
      <w:pPr>
        <w:widowControl w:val="0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Conoscenza dei </w:t>
      </w:r>
      <w:proofErr w:type="spellStart"/>
      <w:r>
        <w:rPr>
          <w:sz w:val="24"/>
          <w:szCs w:val="24"/>
        </w:rPr>
        <w:t>framework</w:t>
      </w:r>
      <w:proofErr w:type="spellEnd"/>
      <w:r>
        <w:rPr>
          <w:sz w:val="24"/>
          <w:szCs w:val="24"/>
        </w:rPr>
        <w:t xml:space="preserve"> di gestione dei rischi IT (ad esempio </w:t>
      </w:r>
      <w:proofErr w:type="spellStart"/>
      <w:r>
        <w:rPr>
          <w:sz w:val="24"/>
          <w:szCs w:val="24"/>
        </w:rPr>
        <w:t>Cobit</w:t>
      </w:r>
      <w:proofErr w:type="spellEnd"/>
      <w:r>
        <w:rPr>
          <w:sz w:val="24"/>
          <w:szCs w:val="24"/>
        </w:rPr>
        <w:t>)</w:t>
      </w:r>
    </w:p>
    <w:p w:rsidR="008B142A" w:rsidRDefault="00315F68" w:rsidP="007B5933">
      <w:pPr>
        <w:widowControl w:val="0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Competenze tecniche di informatica</w:t>
      </w:r>
    </w:p>
    <w:p w:rsidR="008B142A" w:rsidRDefault="00315F68" w:rsidP="007B5933">
      <w:pPr>
        <w:widowControl w:val="0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della normativa degli intermediari finanziari</w:t>
      </w:r>
    </w:p>
    <w:p w:rsidR="008B142A" w:rsidRDefault="00315F68" w:rsidP="007B5933">
      <w:pPr>
        <w:widowControl w:val="0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Partecipazione a progetti presso primari gruppi bancari o assicurativi</w:t>
      </w:r>
    </w:p>
    <w:p w:rsidR="008B142A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Skills</w:t>
      </w:r>
      <w:proofErr w:type="spellEnd"/>
      <w:r>
        <w:rPr>
          <w:b/>
          <w:color w:val="000000"/>
          <w:sz w:val="24"/>
          <w:szCs w:val="24"/>
        </w:rPr>
        <w:t>/competenze:</w:t>
      </w:r>
    </w:p>
    <w:p w:rsidR="008B142A" w:rsidRDefault="00315F68" w:rsidP="007B5933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Dai 2 ai 4 anni di esperienza su temi collegati ai rischi IT </w:t>
      </w:r>
    </w:p>
    <w:p w:rsidR="008B142A" w:rsidRDefault="00315F68" w:rsidP="007B5933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L’ottima conoscenza della lingua inglese è un requisito fondamentale per partecipare a progetti presso gli intermediari internazionali e per quelli soggetti alla vigilanza della Banca </w:t>
      </w:r>
      <w:r>
        <w:rPr>
          <w:color w:val="0E001F"/>
          <w:sz w:val="24"/>
          <w:szCs w:val="24"/>
        </w:rPr>
        <w:t xml:space="preserve">Centrale Europea. </w:t>
      </w:r>
    </w:p>
    <w:p w:rsidR="008B142A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Tipologia contrattuale:</w:t>
      </w:r>
      <w:r>
        <w:rPr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ontratto a tempo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ndeterminato</w:t>
      </w:r>
    </w:p>
    <w:p w:rsidR="008B142A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Sede di lavoro: Milano</w:t>
      </w:r>
    </w:p>
    <w:p w:rsidR="008B142A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candidarsi:</w:t>
      </w:r>
    </w:p>
    <w:p w:rsidR="008B142A" w:rsidRPr="007B5933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inviare il proprio cv </w:t>
      </w:r>
      <w:r>
        <w:rPr>
          <w:sz w:val="24"/>
          <w:szCs w:val="24"/>
        </w:rPr>
        <w:t xml:space="preserve">tramite </w:t>
      </w:r>
      <w:proofErr w:type="spellStart"/>
      <w:r>
        <w:rPr>
          <w:sz w:val="24"/>
          <w:szCs w:val="24"/>
        </w:rPr>
        <w:t>Meritocracy</w:t>
      </w:r>
      <w:proofErr w:type="spellEnd"/>
      <w:r>
        <w:rPr>
          <w:sz w:val="24"/>
          <w:szCs w:val="24"/>
        </w:rPr>
        <w:t xml:space="preserve">: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https://meritocracy.is/it/kpmg/senior-consultant-audit-69084?utm_source=poliba&amp;utm_medium=referral&amp;utm_campaign=kpmg_senior_consultant</w:t>
        </w:r>
      </w:hyperlink>
      <w:r w:rsidR="007B5933">
        <w:rPr>
          <w:color w:val="1155CC"/>
          <w:sz w:val="24"/>
          <w:szCs w:val="24"/>
          <w:u w:val="single"/>
        </w:rPr>
        <w:t xml:space="preserve"> </w:t>
      </w:r>
      <w:r w:rsidR="007B5933" w:rsidRPr="007B5933">
        <w:rPr>
          <w:color w:val="1155CC"/>
          <w:sz w:val="24"/>
          <w:szCs w:val="24"/>
        </w:rPr>
        <w:t>entro il primo ottobre 2019</w:t>
      </w:r>
    </w:p>
    <w:p w:rsidR="008B142A" w:rsidRPr="007B5933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767171"/>
          <w:sz w:val="16"/>
          <w:szCs w:val="16"/>
        </w:rPr>
      </w:pPr>
      <w:r w:rsidRPr="007B5933">
        <w:rPr>
          <w:i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7B5933">
        <w:rPr>
          <w:i/>
          <w:color w:val="767171"/>
          <w:sz w:val="16"/>
          <w:szCs w:val="16"/>
        </w:rPr>
        <w:t>Lgs</w:t>
      </w:r>
      <w:proofErr w:type="spellEnd"/>
      <w:r w:rsidRPr="007B5933">
        <w:rPr>
          <w:i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8B142A" w:rsidRPr="007B5933" w:rsidRDefault="00315F68" w:rsidP="007B5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767171"/>
          <w:sz w:val="16"/>
          <w:szCs w:val="16"/>
        </w:rPr>
      </w:pPr>
      <w:r w:rsidRPr="007B5933">
        <w:rPr>
          <w:i/>
          <w:color w:val="767171"/>
          <w:sz w:val="16"/>
          <w:szCs w:val="16"/>
        </w:rPr>
        <w:t>Il presente annuncio è rivolto ad ambo i sessi, ai sensi della normativa vigente.</w:t>
      </w:r>
    </w:p>
    <w:sectPr w:rsidR="008B142A" w:rsidRPr="007B5933" w:rsidSect="007B5933">
      <w:pgSz w:w="11906" w:h="16838"/>
      <w:pgMar w:top="142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BB6"/>
    <w:multiLevelType w:val="multilevel"/>
    <w:tmpl w:val="DF4299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8B0587"/>
    <w:multiLevelType w:val="multilevel"/>
    <w:tmpl w:val="88B400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AA30A2"/>
    <w:multiLevelType w:val="multilevel"/>
    <w:tmpl w:val="D38E85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A"/>
    <w:rsid w:val="00315F68"/>
    <w:rsid w:val="007B5933"/>
    <w:rsid w:val="008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28F"/>
  <w15:docId w15:val="{5091385B-5FC7-5E45-936C-CFB5B56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tocracy.is/it/kpmg/senior-consultant-audit-69084?utm_source=poliba&amp;utm_medium=referral&amp;utm_campaign=kpmg_senior_consulta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AMM-P0363</cp:lastModifiedBy>
  <cp:revision>4</cp:revision>
  <dcterms:created xsi:type="dcterms:W3CDTF">2019-09-16T09:01:00Z</dcterms:created>
  <dcterms:modified xsi:type="dcterms:W3CDTF">2019-09-16T10:21:00Z</dcterms:modified>
</cp:coreProperties>
</file>